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jc w:val="center"/>
        <w:rPr>
          <w:rFonts w:hint="eastAsia" w:ascii="仿宋" w:hAnsi="仿宋" w:eastAsia="仿宋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品牌策略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判断正误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网络营销的目的，是利用各种</w:t>
      </w:r>
      <w:bookmarkStart w:id="0" w:name="_GoBack"/>
      <w:bookmarkEnd w:id="0"/>
      <w:r>
        <w:rPr>
          <w:rFonts w:ascii="宋体" w:hAnsi="宋体" w:eastAsia="宋体" w:cs="宋体"/>
          <w:sz w:val="28"/>
          <w:szCs w:val="28"/>
        </w:rPr>
        <w:t xml:space="preserve">互联网工具为企业营销活动提供有效的 支持。（ ）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适合在互联网上销售的产品，主要是一些鲜活商品。（ ）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网上调研通常回收率低、成本高，因而不适合中小企业采用。（ ）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网络营销能够为企业节省巨额促销和流通费用，从而降低了产品的成 本和价格。（ ）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企业网站设计过程中，必须重视的问题之一是在主要的搜索引擎上注 册并获得最理想的排名。（ ）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单项选择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以下哪一个不是网络营销的优势？（ ） 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竞争更公平 B.沟通更有效 C.成本更节省 D.品质更保障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以下哪个不是网络营销的手段？（ ） 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搜索引擎注册与排名 B.交换链接 C.商品展销会 D.网上商店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网络营销的分销链比传统的要（ 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Fonts w:hint="default" w:ascii="仿宋" w:hAnsi="仿宋" w:eastAsia="仿宋" w:cstheme="minorEastAsia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8"/>
          <w:szCs w:val="28"/>
        </w:rPr>
        <w:t>A.短 B.宽 C.长 D.一样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888D06"/>
    <w:multiLevelType w:val="singleLevel"/>
    <w:tmpl w:val="93888D06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B6F21962"/>
    <w:multiLevelType w:val="singleLevel"/>
    <w:tmpl w:val="B6F21962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D2ECEAD2"/>
    <w:multiLevelType w:val="singleLevel"/>
    <w:tmpl w:val="D2ECEAD2"/>
    <w:lvl w:ilvl="0" w:tentative="0">
      <w:start w:val="10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E0225F0"/>
    <w:multiLevelType w:val="singleLevel"/>
    <w:tmpl w:val="DE0225F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19E30FB"/>
    <w:multiLevelType w:val="singleLevel"/>
    <w:tmpl w:val="019E30FB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5">
    <w:nsid w:val="7FA53601"/>
    <w:multiLevelType w:val="singleLevel"/>
    <w:tmpl w:val="7FA536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E10920"/>
    <w:rsid w:val="421E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